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E4086"/>
    <w:p w14:paraId="2C92AC2C">
      <w:pPr>
        <w:spacing w:line="540" w:lineRule="exact"/>
        <w:jc w:val="center"/>
        <w:rPr>
          <w:rFonts w:eastAsia="华文中宋"/>
          <w:b/>
          <w:kern w:val="0"/>
          <w:sz w:val="52"/>
          <w:szCs w:val="52"/>
        </w:rPr>
      </w:pPr>
    </w:p>
    <w:p w14:paraId="5A5A0C69">
      <w:pPr>
        <w:spacing w:line="540" w:lineRule="exact"/>
        <w:rPr>
          <w:rFonts w:eastAsia="华文中宋"/>
          <w:b/>
          <w:kern w:val="0"/>
          <w:sz w:val="52"/>
          <w:szCs w:val="52"/>
        </w:rPr>
      </w:pPr>
    </w:p>
    <w:p w14:paraId="5B8A64CF">
      <w:pPr>
        <w:pStyle w:val="2"/>
        <w:jc w:val="both"/>
      </w:pPr>
    </w:p>
    <w:p w14:paraId="466D13C7">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南湖东路77号办理过户相关费用（第九次财经事项会）资金项目支出绩效评价报告</w:t>
      </w:r>
    </w:p>
    <w:p w14:paraId="0A815865">
      <w:pPr>
        <w:spacing w:line="540" w:lineRule="exact"/>
        <w:jc w:val="center"/>
        <w:rPr>
          <w:rFonts w:eastAsia="华文中宋"/>
          <w:b/>
          <w:kern w:val="0"/>
          <w:sz w:val="52"/>
          <w:szCs w:val="52"/>
        </w:rPr>
      </w:pPr>
    </w:p>
    <w:p w14:paraId="01F69248">
      <w:pPr>
        <w:spacing w:line="540" w:lineRule="exact"/>
        <w:jc w:val="cente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7125D218">
      <w:pPr>
        <w:spacing w:line="540" w:lineRule="exact"/>
        <w:jc w:val="center"/>
        <w:rPr>
          <w:rFonts w:eastAsia="仿宋_GB2312"/>
          <w:kern w:val="0"/>
          <w:sz w:val="30"/>
          <w:szCs w:val="30"/>
        </w:rPr>
      </w:pPr>
    </w:p>
    <w:p w14:paraId="15C34595">
      <w:pPr>
        <w:pStyle w:val="2"/>
        <w:jc w:val="both"/>
        <w:rPr>
          <w:rFonts w:eastAsia="仿宋_GB2312"/>
          <w:kern w:val="0"/>
          <w:sz w:val="30"/>
          <w:szCs w:val="30"/>
        </w:rPr>
      </w:pPr>
    </w:p>
    <w:p w14:paraId="531B5A28">
      <w:pPr>
        <w:pStyle w:val="2"/>
        <w:jc w:val="both"/>
      </w:pPr>
    </w:p>
    <w:p w14:paraId="458F8442">
      <w:pPr>
        <w:pStyle w:val="2"/>
        <w:jc w:val="both"/>
      </w:pPr>
    </w:p>
    <w:p w14:paraId="70497CEA"/>
    <w:p w14:paraId="5F475709">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eastAsia="仿宋_GB2312"/>
          <w:kern w:val="0"/>
          <w:sz w:val="36"/>
          <w:szCs w:val="36"/>
        </w:rPr>
      </w:pPr>
      <w:r>
        <w:rPr>
          <w:rFonts w:eastAsia="仿宋_GB2312"/>
          <w:kern w:val="0"/>
          <w:sz w:val="36"/>
          <w:szCs w:val="36"/>
        </w:rPr>
        <w:t>项目名称：南湖东路77号办理过户相关费用（第九次财经事项会）</w:t>
      </w:r>
    </w:p>
    <w:p w14:paraId="2224A9FE">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：乌鲁木齐市水磨沟区机关事务管理中心</w:t>
      </w:r>
    </w:p>
    <w:p w14:paraId="162FF76D">
      <w:pPr>
        <w:pStyle w:val="2"/>
        <w:jc w:val="both"/>
        <w:rPr>
          <w:rFonts w:hint="default" w:ascii="Times New Roman" w:hAnsi="Times New Roman" w:eastAsia="仿宋_GB2312" w:cs="Times New Roman"/>
          <w:b w:val="0"/>
          <w:bCs w:val="0"/>
          <w:kern w:val="0"/>
          <w:sz w:val="36"/>
          <w:szCs w:val="36"/>
          <w:lang w:val="en-US" w:eastAsia="zh-CN" w:bidi="ar-SA"/>
        </w:rPr>
      </w:pPr>
      <w:r>
        <w:rPr>
          <w:rFonts w:hint="eastAsia" w:ascii="Times New Roman" w:hAnsi="Times New Roman" w:eastAsia="仿宋_GB2312" w:cs="Times New Roman"/>
          <w:b w:val="0"/>
          <w:bCs w:val="0"/>
          <w:kern w:val="0"/>
          <w:sz w:val="36"/>
          <w:szCs w:val="36"/>
          <w:lang w:val="en-US" w:eastAsia="zh-CN" w:bidi="ar-SA"/>
        </w:rPr>
        <w:t>主管部门：乌鲁木齐市水磨沟区机关事务管理中心</w:t>
      </w:r>
    </w:p>
    <w:p w14:paraId="3DA9A5F1">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default"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val="en-US" w:eastAsia="zh-CN"/>
        </w:rPr>
        <w:t>马崇琳</w:t>
      </w:r>
    </w:p>
    <w:p w14:paraId="025F1B19">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23</w:t>
      </w:r>
      <w:r>
        <w:rPr>
          <w:rFonts w:eastAsia="仿宋_GB2312"/>
          <w:kern w:val="0"/>
          <w:sz w:val="36"/>
          <w:szCs w:val="36"/>
        </w:rPr>
        <w:t>日</w:t>
      </w:r>
    </w:p>
    <w:p w14:paraId="5889B9B7">
      <w:pPr>
        <w:spacing w:line="560" w:lineRule="exact"/>
        <w:ind w:firstLine="640" w:firstLineChars="200"/>
        <w:rPr>
          <w:rFonts w:eastAsia="黑体"/>
          <w:bCs/>
          <w:sz w:val="32"/>
          <w:szCs w:val="32"/>
        </w:rPr>
      </w:pPr>
      <w:bookmarkStart w:id="7" w:name="_GoBack"/>
      <w:bookmarkEnd w:id="7"/>
      <w:r>
        <w:rPr>
          <w:rFonts w:eastAsia="黑体"/>
          <w:bCs/>
          <w:sz w:val="32"/>
          <w:szCs w:val="32"/>
        </w:rPr>
        <w:t>一、基本情况</w:t>
      </w:r>
    </w:p>
    <w:p w14:paraId="50165E34">
      <w:pPr>
        <w:spacing w:line="560" w:lineRule="exact"/>
        <w:ind w:firstLine="643" w:firstLineChars="200"/>
        <w:rPr>
          <w:rFonts w:eastAsia="楷体_GB2312"/>
          <w:b/>
          <w:bCs/>
          <w:sz w:val="32"/>
          <w:szCs w:val="32"/>
        </w:rPr>
      </w:pPr>
      <w:r>
        <w:rPr>
          <w:rFonts w:eastAsia="楷体_GB2312"/>
          <w:b/>
          <w:bCs/>
          <w:sz w:val="32"/>
          <w:szCs w:val="32"/>
        </w:rPr>
        <w:t>（一）项目概况</w:t>
      </w:r>
    </w:p>
    <w:p w14:paraId="538D4B75">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69B0C489">
      <w:pPr>
        <w:spacing w:line="560" w:lineRule="exact"/>
        <w:ind w:firstLine="640" w:firstLineChars="200"/>
        <w:rPr>
          <w:rFonts w:eastAsia="仿宋_GB2312"/>
          <w:sz w:val="32"/>
          <w:szCs w:val="32"/>
        </w:rPr>
      </w:pPr>
      <w:r>
        <w:rPr>
          <w:rFonts w:hint="eastAsia" w:eastAsia="仿宋_GB2312"/>
          <w:sz w:val="32"/>
          <w:szCs w:val="32"/>
        </w:rPr>
        <w:t>根据《关于申请拍卖南湖东路38号老陕食府等5处资产的请示》（水机管【2022】34号)《水磨沟区第22次区委常委会会议纪要》（第十一届【2022】22号）《关于南湖东路77号、南湖东路295号两处资产的处置请示》《关于乌鲁木齐市水磨沟区机关事务管理中心资产处置的批复》文件精神，南湖东路77号资产已于2024年2月28日完成拍卖处置。由于财政紧张，我区未在规定期限内缴纳过户相关税费，现申请支付未按规定时间内缴费产生的滞纳金。</w:t>
      </w:r>
    </w:p>
    <w:p w14:paraId="01CB45AB">
      <w:pPr>
        <w:pStyle w:val="20"/>
        <w:spacing w:line="560" w:lineRule="exact"/>
        <w:ind w:firstLine="64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项目主要内</w:t>
      </w:r>
      <w:r>
        <w:rPr>
          <w:rFonts w:hint="eastAsia" w:ascii="仿宋_GB2312" w:hAnsi="仿宋_GB2312" w:eastAsia="仿宋_GB2312" w:cs="仿宋_GB2312"/>
          <w:b/>
          <w:bCs/>
          <w:sz w:val="32"/>
          <w:szCs w:val="32"/>
          <w:highlight w:val="none"/>
        </w:rPr>
        <w:t>容</w:t>
      </w:r>
      <w:r>
        <w:rPr>
          <w:rFonts w:hint="eastAsia" w:ascii="仿宋_GB2312" w:hAnsi="仿宋_GB2312" w:eastAsia="仿宋_GB2312" w:cs="仿宋_GB2312"/>
          <w:b/>
          <w:bCs/>
          <w:sz w:val="32"/>
          <w:szCs w:val="32"/>
          <w:highlight w:val="none"/>
          <w:lang w:val="en-US" w:eastAsia="zh-CN"/>
        </w:rPr>
        <w:t>及实施情况</w:t>
      </w:r>
    </w:p>
    <w:p w14:paraId="2DAD53C1">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主要内容：南湖东路77号资产已于2024年2月28日完成拍卖处置，由于财政紧张，我区未在规定期限内缴纳房产过户相关税费，2024年7月4日完成房产过户相关税费的缴纳，现区人民政府办公室向我单位申请拨付因延期缴纳税费产生的滞纳金111.14万元</w:t>
      </w:r>
    </w:p>
    <w:p w14:paraId="49A181F3">
      <w:pPr>
        <w:spacing w:line="600" w:lineRule="exact"/>
        <w:ind w:firstLine="640" w:firstLineChars="200"/>
        <w:outlineLvl w:val="0"/>
        <w:rPr>
          <w:highlight w:val="none"/>
        </w:rPr>
      </w:pPr>
      <w:r>
        <w:rPr>
          <w:rFonts w:hint="eastAsia" w:ascii="仿宋_GB2312" w:hAnsi="仿宋_GB2312" w:eastAsia="仿宋_GB2312" w:cs="仿宋_GB2312"/>
          <w:sz w:val="32"/>
          <w:szCs w:val="32"/>
          <w:highlight w:val="none"/>
        </w:rPr>
        <w:t>项目实施情况：项目目前已经完成实际设立的目标，项目</w:t>
      </w:r>
      <w:r>
        <w:rPr>
          <w:rFonts w:eastAsia="仿宋_GB2312"/>
          <w:sz w:val="32"/>
          <w:szCs w:val="32"/>
          <w:highlight w:val="none"/>
        </w:rPr>
        <w:t>在实施过程中严格按照目标设立的各阶段任务进行开展工作，推动资产处置的过户程序，对于延期缴纳税费产生的滞纳金，已拨付到区人民政府办公室，完成滞纳金缴纳工作。</w:t>
      </w:r>
    </w:p>
    <w:p w14:paraId="6EE83844">
      <w:pPr>
        <w:pStyle w:val="20"/>
        <w:spacing w:line="560" w:lineRule="exact"/>
        <w:ind w:firstLine="64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资金投入和使用情况</w:t>
      </w:r>
    </w:p>
    <w:p w14:paraId="6237747B">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（1）资金投入情况</w:t>
      </w:r>
    </w:p>
    <w:p w14:paraId="1BE7331A">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该项目年初预算数</w:t>
      </w:r>
      <w:r>
        <w:rPr>
          <w:rFonts w:hint="eastAsia" w:ascii="仿宋_GB2312" w:hAnsi="仿宋_GB2312" w:eastAsia="仿宋_GB2312" w:cs="仿宋_GB2312"/>
          <w:sz w:val="32"/>
          <w:szCs w:val="32"/>
          <w:highlight w:val="none"/>
          <w:lang w:val="en-US" w:eastAsia="zh-CN"/>
        </w:rPr>
        <w:t>111.14</w:t>
      </w:r>
      <w:r>
        <w:rPr>
          <w:rFonts w:hint="eastAsia" w:ascii="仿宋_GB2312" w:hAnsi="仿宋_GB2312" w:eastAsia="仿宋_GB2312" w:cs="仿宋_GB2312"/>
          <w:sz w:val="32"/>
          <w:szCs w:val="32"/>
          <w:highlight w:val="none"/>
        </w:rPr>
        <w:t>万元，全年预算数</w:t>
      </w:r>
      <w:r>
        <w:rPr>
          <w:rFonts w:hint="eastAsia" w:ascii="仿宋_GB2312" w:hAnsi="仿宋_GB2312" w:eastAsia="仿宋_GB2312" w:cs="仿宋_GB2312"/>
          <w:sz w:val="32"/>
          <w:szCs w:val="32"/>
          <w:highlight w:val="none"/>
          <w:lang w:val="en-US" w:eastAsia="zh-CN"/>
        </w:rPr>
        <w:t>111.14</w:t>
      </w:r>
      <w:r>
        <w:rPr>
          <w:rFonts w:hint="eastAsia" w:ascii="仿宋_GB2312" w:hAnsi="仿宋_GB2312" w:eastAsia="仿宋_GB2312" w:cs="仿宋_GB2312"/>
          <w:sz w:val="32"/>
          <w:szCs w:val="32"/>
          <w:highlight w:val="none"/>
        </w:rPr>
        <w:t>万元，实际总投入</w:t>
      </w:r>
      <w:r>
        <w:rPr>
          <w:rFonts w:hint="eastAsia" w:ascii="仿宋_GB2312" w:hAnsi="仿宋_GB2312" w:eastAsia="仿宋_GB2312" w:cs="仿宋_GB2312"/>
          <w:sz w:val="32"/>
          <w:szCs w:val="32"/>
          <w:highlight w:val="none"/>
          <w:lang w:val="en-US" w:eastAsia="zh-CN"/>
        </w:rPr>
        <w:t>111.14</w:t>
      </w:r>
      <w:r>
        <w:rPr>
          <w:rFonts w:hint="eastAsia" w:ascii="仿宋_GB2312" w:hAnsi="仿宋_GB2312" w:eastAsia="仿宋_GB2312" w:cs="仿宋_GB2312"/>
          <w:sz w:val="32"/>
          <w:szCs w:val="32"/>
          <w:highlight w:val="none"/>
        </w:rPr>
        <w:t>万元，该项目资金已全部落实到位，资金来源为</w:t>
      </w:r>
      <w:r>
        <w:rPr>
          <w:rFonts w:hint="eastAsia" w:ascii="仿宋_GB2312" w:hAnsi="仿宋_GB2312" w:eastAsia="仿宋_GB2312" w:cs="仿宋_GB2312"/>
          <w:sz w:val="32"/>
          <w:szCs w:val="32"/>
          <w:highlight w:val="none"/>
          <w:lang w:eastAsia="zh-CN"/>
        </w:rPr>
        <w:t>年初预算数</w:t>
      </w:r>
      <w:r>
        <w:rPr>
          <w:rFonts w:hint="eastAsia" w:ascii="仿宋_GB2312" w:hAnsi="仿宋_GB2312" w:eastAsia="仿宋_GB2312" w:cs="仿宋_GB2312"/>
          <w:sz w:val="32"/>
          <w:szCs w:val="32"/>
          <w:highlight w:val="none"/>
        </w:rPr>
        <w:t>。</w:t>
      </w:r>
    </w:p>
    <w:p w14:paraId="03CCC237">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（2）资金使用情况</w:t>
      </w:r>
    </w:p>
    <w:p w14:paraId="6A9B4F4C">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该项目年初预算数</w:t>
      </w:r>
      <w:r>
        <w:rPr>
          <w:rFonts w:hint="eastAsia" w:ascii="仿宋_GB2312" w:hAnsi="仿宋_GB2312" w:eastAsia="仿宋_GB2312" w:cs="仿宋_GB2312"/>
          <w:sz w:val="32"/>
          <w:szCs w:val="32"/>
          <w:highlight w:val="none"/>
          <w:lang w:val="en-US" w:eastAsia="zh-CN"/>
        </w:rPr>
        <w:t>111.14</w:t>
      </w:r>
      <w:r>
        <w:rPr>
          <w:rFonts w:hint="eastAsia" w:ascii="仿宋_GB2312" w:hAnsi="仿宋_GB2312" w:eastAsia="仿宋_GB2312" w:cs="仿宋_GB2312"/>
          <w:sz w:val="32"/>
          <w:szCs w:val="32"/>
          <w:highlight w:val="none"/>
        </w:rPr>
        <w:t>万元，全年预算数</w:t>
      </w:r>
      <w:r>
        <w:rPr>
          <w:rFonts w:hint="eastAsia" w:ascii="仿宋_GB2312" w:hAnsi="仿宋_GB2312" w:eastAsia="仿宋_GB2312" w:cs="仿宋_GB2312"/>
          <w:sz w:val="32"/>
          <w:szCs w:val="32"/>
          <w:highlight w:val="none"/>
          <w:lang w:val="en-US" w:eastAsia="zh-CN"/>
        </w:rPr>
        <w:t>111.14</w:t>
      </w:r>
      <w:r>
        <w:rPr>
          <w:rFonts w:hint="eastAsia" w:ascii="仿宋_GB2312" w:hAnsi="仿宋_GB2312" w:eastAsia="仿宋_GB2312" w:cs="仿宋_GB2312"/>
          <w:sz w:val="32"/>
          <w:szCs w:val="32"/>
          <w:highlight w:val="none"/>
        </w:rPr>
        <w:t>万元，全年执行数</w:t>
      </w:r>
      <w:r>
        <w:rPr>
          <w:rFonts w:hint="eastAsia" w:ascii="仿宋_GB2312" w:hAnsi="仿宋_GB2312" w:eastAsia="仿宋_GB2312" w:cs="仿宋_GB2312"/>
          <w:sz w:val="32"/>
          <w:szCs w:val="32"/>
          <w:highlight w:val="none"/>
          <w:lang w:val="en-US" w:eastAsia="zh-CN"/>
        </w:rPr>
        <w:t>111.14</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%，主要用于：因延期缴纳税费产生的滞纳金。</w:t>
      </w:r>
    </w:p>
    <w:p w14:paraId="7A041A27">
      <w:pPr>
        <w:spacing w:line="560" w:lineRule="exact"/>
        <w:ind w:firstLine="643" w:firstLineChars="200"/>
        <w:rPr>
          <w:rFonts w:eastAsia="楷体_GB2312"/>
          <w:b/>
          <w:bCs/>
          <w:sz w:val="32"/>
          <w:szCs w:val="32"/>
        </w:rPr>
      </w:pPr>
      <w:r>
        <w:rPr>
          <w:rFonts w:eastAsia="楷体_GB2312"/>
          <w:b/>
          <w:bCs/>
          <w:sz w:val="32"/>
          <w:szCs w:val="32"/>
        </w:rPr>
        <w:t>（二）项目绩效目标</w:t>
      </w:r>
    </w:p>
    <w:p w14:paraId="40E85B40">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lang w:val="en-US" w:eastAsia="zh-CN" w:bidi="ar-SA"/>
        </w:rPr>
        <w:t>1.总体目标</w:t>
      </w:r>
    </w:p>
    <w:p w14:paraId="0DF0341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根据《关于乌鲁木齐市水磨沟区机关事务管理中心资产处置的批复》文件精神，为推动资产处置的过户程序，对于延期缴纳税费产生的滞纳金，尽快拨付到区人民政府办公室，完成滞纳金缴纳工作。</w:t>
      </w:r>
    </w:p>
    <w:p w14:paraId="4CDC3CAB">
      <w:pPr>
        <w:spacing w:line="560" w:lineRule="exact"/>
        <w:ind w:firstLine="643" w:firstLineChars="200"/>
        <w:rPr>
          <w:rFonts w:ascii="仿宋_GB2312" w:hAnsi="仿宋_GB2312" w:eastAsia="仿宋_GB2312" w:cs="仿宋_GB2312"/>
          <w:b w:val="0"/>
          <w:bCs w:val="0"/>
          <w:color w:val="FF0000"/>
          <w:sz w:val="30"/>
          <w:szCs w:val="30"/>
          <w:highlight w:val="none"/>
        </w:rPr>
      </w:pPr>
      <w:r>
        <w:rPr>
          <w:rFonts w:hint="eastAsia" w:ascii="仿宋_GB2312" w:hAnsi="仿宋_GB2312" w:eastAsia="仿宋_GB2312" w:cs="仿宋_GB2312"/>
          <w:b/>
          <w:bCs/>
          <w:kern w:val="0"/>
          <w:sz w:val="32"/>
          <w:szCs w:val="32"/>
          <w:lang w:val="en-US" w:eastAsia="zh-CN" w:bidi="ar-SA"/>
        </w:rPr>
        <w:t>2</w:t>
      </w:r>
      <w:r>
        <w:rPr>
          <w:rFonts w:hint="eastAsia" w:ascii="仿宋_GB2312" w:hAnsi="仿宋_GB2312" w:eastAsia="仿宋_GB2312" w:cs="仿宋_GB2312"/>
          <w:b/>
          <w:bCs/>
          <w:kern w:val="0"/>
          <w:sz w:val="32"/>
          <w:szCs w:val="32"/>
          <w:highlight w:val="none"/>
          <w:lang w:val="en-US" w:eastAsia="zh-CN" w:bidi="ar-SA"/>
        </w:rPr>
        <w:t>.阶段性目标</w:t>
      </w:r>
    </w:p>
    <w:p w14:paraId="2659D224">
      <w:pPr>
        <w:spacing w:line="560" w:lineRule="exact"/>
        <w:ind w:firstLine="640" w:firstLineChars="200"/>
        <w:rPr>
          <w:rFonts w:eastAsia="黑体"/>
          <w:bCs/>
        </w:rPr>
      </w:pPr>
      <w:r>
        <w:rPr>
          <w:rFonts w:hint="eastAsia" w:ascii="仿宋_GB2312" w:hAnsi="仿宋_GB2312" w:eastAsia="仿宋_GB2312" w:cs="仿宋_GB2312"/>
          <w:sz w:val="32"/>
          <w:szCs w:val="32"/>
          <w:lang w:eastAsia="zh-CN"/>
        </w:rPr>
        <w:t>首先</w:t>
      </w:r>
      <w:r>
        <w:rPr>
          <w:rFonts w:hint="eastAsia" w:ascii="仿宋_GB2312" w:hAnsi="仿宋_GB2312" w:eastAsia="仿宋_GB2312" w:cs="仿宋_GB2312"/>
          <w:sz w:val="32"/>
          <w:szCs w:val="32"/>
        </w:rPr>
        <w:t>由我单位向财政申请因延期缴纳税费产生的滞纳金111.14万元，我单位再向人民政府办公室拨付111.14万元，最后人民政府办公室进行缴纳税费产生的滞纳金。</w:t>
      </w:r>
    </w:p>
    <w:p w14:paraId="0CAF74E0">
      <w:pPr>
        <w:spacing w:line="560" w:lineRule="exact"/>
        <w:ind w:firstLine="640" w:firstLineChars="200"/>
        <w:rPr>
          <w:rFonts w:eastAsia="黑体"/>
          <w:sz w:val="32"/>
          <w:szCs w:val="32"/>
        </w:rPr>
      </w:pPr>
      <w:r>
        <w:rPr>
          <w:rFonts w:eastAsia="黑体"/>
          <w:sz w:val="32"/>
          <w:szCs w:val="32"/>
        </w:rPr>
        <w:t>二、绩效评价工作开展情况</w:t>
      </w:r>
    </w:p>
    <w:p w14:paraId="727E25B3">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2845D5A0">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绩效评价的目的</w:t>
      </w:r>
    </w:p>
    <w:p w14:paraId="6CBD60AA">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2B5C9516">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5F569000">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1805F59D">
      <w:pPr>
        <w:pStyle w:val="20"/>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9CDC5EF">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绩效评价的对象</w:t>
      </w:r>
    </w:p>
    <w:p w14:paraId="59B802A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南湖东路77号办理过户相关费用（第九次财经事项会）</w:t>
      </w:r>
    </w:p>
    <w:p w14:paraId="3DB5B14A">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项目所包含的全部项目内容。</w:t>
      </w:r>
    </w:p>
    <w:p w14:paraId="3D999FF2">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绩效评价的范围</w:t>
      </w:r>
    </w:p>
    <w:p w14:paraId="1E1613D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南湖东路77号办理过户相关费用（第九次财经事项会）</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rPr>
        <w:t>进行评价，评价核心为专项资金的支出完成情况和效果。</w:t>
      </w:r>
    </w:p>
    <w:p w14:paraId="63F768B5">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lang w:val="en-US" w:eastAsia="zh-CN"/>
        </w:rPr>
        <w:t>附件2</w:t>
      </w:r>
      <w:r>
        <w:rPr>
          <w:rFonts w:eastAsia="楷体_GB2312"/>
          <w:b/>
          <w:bCs/>
          <w:sz w:val="32"/>
          <w:szCs w:val="32"/>
        </w:rPr>
        <w:t>）、评价方法、评价标准</w:t>
      </w:r>
    </w:p>
    <w:p w14:paraId="7CFA9656">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绩效评价原则</w:t>
      </w:r>
    </w:p>
    <w:p w14:paraId="35993965">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6F1AA128">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19D3CE1E">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6B5F79A4">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4D787CA2">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2199BB27">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28FD3034">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2EC642B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492C8BD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0EB130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01C2D10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0C50CDB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2B58E359">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66694FD0">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AB80688">
      <w:pPr>
        <w:pStyle w:val="2"/>
        <w:widowControl w:val="0"/>
        <w:spacing w:before="0" w:after="0" w:line="560" w:lineRule="exact"/>
        <w:ind w:firstLine="708" w:firstLineChars="200"/>
        <w:jc w:val="both"/>
        <w:outlineLvl w:val="9"/>
        <w:rPr>
          <w:rFonts w:hint="default" w:ascii="Times New Roman" w:hAnsi="Times New Roman" w:eastAsia="仿宋_GB2312"/>
          <w:b w:val="0"/>
          <w:bCs w:val="0"/>
          <w:color w:val="000000"/>
          <w:spacing w:val="17"/>
          <w:lang w:val="en-US" w:eastAsia="zh-CN"/>
        </w:rPr>
      </w:pPr>
      <w:r>
        <w:rPr>
          <w:rFonts w:ascii="Times New Roman" w:hAnsi="Times New Roman" w:eastAsia="仿宋_GB2312"/>
          <w:b w:val="0"/>
          <w:bCs w:val="0"/>
          <w:color w:val="000000"/>
          <w:spacing w:val="17"/>
        </w:rPr>
        <w:t>具体评价指标体系详情见附件</w:t>
      </w:r>
      <w:r>
        <w:rPr>
          <w:rFonts w:hint="eastAsia" w:ascii="Times New Roman" w:hAnsi="Times New Roman" w:eastAsia="仿宋_GB2312"/>
          <w:b w:val="0"/>
          <w:bCs w:val="0"/>
          <w:color w:val="000000"/>
          <w:spacing w:val="17"/>
          <w:lang w:val="en-US" w:eastAsia="zh-CN"/>
        </w:rPr>
        <w:t>2。</w:t>
      </w:r>
    </w:p>
    <w:p w14:paraId="0D5DF0A3">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15B9238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76A5171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w:t>
      </w:r>
      <w:r>
        <w:rPr>
          <w:rFonts w:eastAsia="仿宋_GB2312"/>
          <w:color w:val="000000"/>
          <w:spacing w:val="17"/>
          <w:sz w:val="32"/>
          <w:szCs w:val="32"/>
          <w:highlight w:val="none"/>
        </w:rPr>
        <w:t>采用了因素分析法</w:t>
      </w:r>
      <w:r>
        <w:rPr>
          <w:rFonts w:eastAsia="仿宋_GB2312"/>
          <w:color w:val="000000"/>
          <w:spacing w:val="17"/>
          <w:sz w:val="32"/>
          <w:szCs w:val="32"/>
        </w:rPr>
        <w:t>，具体评价方法如下：</w:t>
      </w:r>
    </w:p>
    <w:p w14:paraId="06A1B47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476390E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6067487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3384BAC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45FB997C">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评价标准</w:t>
      </w:r>
    </w:p>
    <w:p w14:paraId="72A2FF52">
      <w:pPr>
        <w:spacing w:line="560" w:lineRule="exact"/>
        <w:ind w:firstLine="640"/>
        <w:rPr>
          <w:rFonts w:eastAsia="方正仿宋_GBK" w:cs="方正仿宋_GBK"/>
          <w:color w:val="FF0000"/>
          <w:sz w:val="32"/>
          <w:szCs w:val="32"/>
          <w:highlight w:val="none"/>
        </w:rPr>
      </w:pPr>
      <w:r>
        <w:rPr>
          <w:rFonts w:hint="eastAsia" w:eastAsia="方正仿宋_GBK" w:cs="方正仿宋_GBK"/>
          <w:sz w:val="32"/>
          <w:szCs w:val="32"/>
          <w:highlight w:val="none"/>
        </w:rPr>
        <w:t>绩效评价标准通常包括计划标准、行业标准、历史标准等，用于对绩效指标完成情况进行比较、分析、评价。本次评价主要采用了</w:t>
      </w:r>
      <w:r>
        <w:rPr>
          <w:rFonts w:hint="eastAsia" w:eastAsia="方正仿宋_GBK" w:cs="方正仿宋_GBK"/>
          <w:sz w:val="32"/>
          <w:szCs w:val="32"/>
          <w:highlight w:val="none"/>
          <w:lang w:eastAsia="zh-CN"/>
        </w:rPr>
        <w:t>计划</w:t>
      </w:r>
      <w:r>
        <w:rPr>
          <w:rFonts w:hint="eastAsia" w:eastAsia="方正仿宋_GBK" w:cs="方正仿宋_GBK"/>
          <w:sz w:val="32"/>
          <w:szCs w:val="32"/>
          <w:highlight w:val="none"/>
        </w:rPr>
        <w:t>标准。</w:t>
      </w:r>
    </w:p>
    <w:p w14:paraId="3FD6EBC3">
      <w:pPr>
        <w:spacing w:line="560" w:lineRule="exact"/>
        <w:ind w:firstLine="640"/>
        <w:rPr>
          <w:rFonts w:eastAsia="方正仿宋_GBK" w:cs="方正仿宋_GBK"/>
          <w:sz w:val="32"/>
          <w:szCs w:val="32"/>
          <w:highlight w:val="none"/>
        </w:rPr>
      </w:pPr>
      <w:bookmarkStart w:id="0" w:name="_Toc17882"/>
      <w:bookmarkStart w:id="1" w:name="_Toc31464"/>
      <w:r>
        <w:rPr>
          <w:rFonts w:hint="eastAsia" w:eastAsia="方正仿宋_GBK" w:cs="方正仿宋_GBK"/>
          <w:b/>
          <w:bCs/>
          <w:sz w:val="32"/>
          <w:szCs w:val="32"/>
          <w:highlight w:val="none"/>
        </w:rPr>
        <w:t>计划标准：</w:t>
      </w:r>
      <w:r>
        <w:rPr>
          <w:rFonts w:hint="eastAsia" w:eastAsia="方正仿宋_GBK" w:cs="方正仿宋_GBK"/>
          <w:sz w:val="32"/>
          <w:szCs w:val="32"/>
          <w:highlight w:val="none"/>
        </w:rPr>
        <w:t>指以预先制定的目标、计划、预算、定额等作为评价标准。</w:t>
      </w:r>
      <w:bookmarkEnd w:id="0"/>
      <w:bookmarkEnd w:id="1"/>
    </w:p>
    <w:p w14:paraId="0E547314">
      <w:pPr>
        <w:spacing w:line="560" w:lineRule="exact"/>
        <w:ind w:firstLine="640"/>
        <w:rPr>
          <w:rFonts w:eastAsia="方正仿宋_GBK" w:cs="方正仿宋_GBK"/>
          <w:sz w:val="32"/>
          <w:szCs w:val="32"/>
          <w:highlight w:val="none"/>
        </w:rPr>
      </w:pPr>
      <w:bookmarkStart w:id="2" w:name="_Toc5633"/>
      <w:bookmarkStart w:id="3" w:name="_Toc2318"/>
      <w:r>
        <w:rPr>
          <w:rFonts w:hint="eastAsia" w:eastAsia="方正仿宋_GBK" w:cs="方正仿宋_GBK"/>
          <w:b/>
          <w:bCs/>
          <w:sz w:val="32"/>
          <w:szCs w:val="32"/>
          <w:highlight w:val="none"/>
        </w:rPr>
        <w:t>行业标准：</w:t>
      </w:r>
      <w:r>
        <w:rPr>
          <w:rFonts w:hint="eastAsia" w:eastAsia="方正仿宋_GBK" w:cs="方正仿宋_GBK"/>
          <w:sz w:val="32"/>
          <w:szCs w:val="32"/>
          <w:highlight w:val="none"/>
        </w:rPr>
        <w:t>指参照国家公布的行业指标数据制定的评价标准。</w:t>
      </w:r>
      <w:bookmarkEnd w:id="2"/>
      <w:bookmarkEnd w:id="3"/>
    </w:p>
    <w:p w14:paraId="1CCC0800">
      <w:pPr>
        <w:spacing w:line="560" w:lineRule="exact"/>
        <w:ind w:firstLine="640"/>
        <w:rPr>
          <w:rFonts w:eastAsia="方正仿宋_GBK" w:cs="方正仿宋_GBK"/>
          <w:sz w:val="32"/>
          <w:szCs w:val="32"/>
          <w:highlight w:val="yellow"/>
        </w:rPr>
      </w:pPr>
      <w:bookmarkStart w:id="4" w:name="_Toc16028"/>
      <w:bookmarkStart w:id="5" w:name="_Toc430"/>
      <w:r>
        <w:rPr>
          <w:rFonts w:hint="eastAsia" w:eastAsia="方正仿宋_GBK" w:cs="方正仿宋_GBK"/>
          <w:b/>
          <w:bCs/>
          <w:sz w:val="32"/>
          <w:szCs w:val="32"/>
          <w:highlight w:val="none"/>
        </w:rPr>
        <w:t>历史标准：</w:t>
      </w:r>
      <w:r>
        <w:rPr>
          <w:rFonts w:hint="eastAsia" w:eastAsia="方正仿宋_GBK" w:cs="方正仿宋_GBK"/>
          <w:sz w:val="32"/>
          <w:szCs w:val="32"/>
          <w:highlight w:val="none"/>
        </w:rPr>
        <w:t>指参照历史数据制定的评价标准，为体现绩效改进的原则，在可实现的条件下应当确定相对较高的评价标准。</w:t>
      </w:r>
      <w:bookmarkEnd w:id="4"/>
      <w:bookmarkEnd w:id="5"/>
    </w:p>
    <w:p w14:paraId="0E3C3F08">
      <w:pPr>
        <w:pStyle w:val="2"/>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0BB68E93">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1.前期准备。</w:t>
      </w:r>
      <w:r>
        <w:rPr>
          <w:rFonts w:hint="eastAsia" w:eastAsia="仿宋_GB2312"/>
          <w:bCs/>
          <w:sz w:val="32"/>
          <w:szCs w:val="32"/>
          <w:highlight w:val="none"/>
        </w:rPr>
        <w:t>首先开展前期调研；其次明确项目绩效目标，设计绩效评价指标体系并确</w:t>
      </w:r>
      <w:r>
        <w:rPr>
          <w:rFonts w:hint="eastAsia" w:eastAsia="仿宋_GB2312"/>
          <w:bCs/>
          <w:sz w:val="32"/>
          <w:szCs w:val="32"/>
        </w:rPr>
        <w:t>定绩效评价方法；接着确定现场和非现场评价范围，设计资料清单；最后制定评价实施方案并进行论证。</w:t>
      </w:r>
    </w:p>
    <w:p w14:paraId="0FD4A551">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2.组织实施。</w:t>
      </w:r>
      <w:r>
        <w:rPr>
          <w:rFonts w:hint="eastAsia"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3F83461D">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1D0959E9">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4E6C7420">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14BD506F">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1F60C6D">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55A284F9">
      <w:pPr>
        <w:pStyle w:val="2"/>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运用绩效评价组制定的评价指标体系以及财政部《项目支出绩效评价管理办法》（财预〔2020〕10号）文件的评分标准，通过数据采集、访谈等方式，对本项目进行客观评价，最终评分结果：</w:t>
      </w:r>
      <w:r>
        <w:rPr>
          <w:rFonts w:hint="eastAsia" w:ascii="Times New Roman" w:hAnsi="Times New Roman" w:eastAsia="仿宋_GB2312"/>
          <w:b w:val="0"/>
          <w:bCs w:val="0"/>
          <w:highlight w:val="none"/>
        </w:rPr>
        <w:t xml:space="preserve">总得分为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%。具体打分情况详见：</w:t>
      </w:r>
      <w:r>
        <w:rPr>
          <w:rFonts w:hint="eastAsia" w:ascii="Times New Roman" w:hAnsi="Times New Roman" w:eastAsia="仿宋_GB2312"/>
          <w:b w:val="0"/>
          <w:bCs w:val="0"/>
          <w:highlight w:val="none"/>
          <w:lang w:val="en-US" w:eastAsia="zh-CN"/>
        </w:rPr>
        <w:t>表</w:t>
      </w:r>
      <w:r>
        <w:rPr>
          <w:rFonts w:hint="eastAsia" w:ascii="Times New Roman" w:hAnsi="Times New Roman" w:eastAsia="仿宋_GB2312"/>
          <w:b w:val="0"/>
          <w:bCs w:val="0"/>
          <w:highlight w:val="none"/>
        </w:rPr>
        <w:t>1</w:t>
      </w:r>
      <w:r>
        <w:rPr>
          <w:rFonts w:hint="eastAsia" w:ascii="Times New Roman" w:hAnsi="Times New Roman" w:eastAsia="仿宋_GB2312"/>
          <w:b w:val="0"/>
          <w:bCs w:val="0"/>
          <w:highlight w:val="none"/>
          <w:lang w:val="en-US" w:eastAsia="zh-CN"/>
        </w:rPr>
        <w:t>.</w:t>
      </w:r>
      <w:r>
        <w:rPr>
          <w:rFonts w:hint="eastAsia" w:ascii="Times New Roman" w:hAnsi="Times New Roman" w:eastAsia="仿宋_GB2312"/>
          <w:b w:val="0"/>
          <w:bCs w:val="0"/>
          <w:highlight w:val="none"/>
        </w:rPr>
        <w:t>综合评分表。</w:t>
      </w:r>
    </w:p>
    <w:p w14:paraId="7B2F0B21">
      <w:pPr>
        <w:pStyle w:val="2"/>
        <w:spacing w:before="0" w:after="0"/>
        <w:rPr>
          <w:rFonts w:ascii="Times New Roman" w:hAnsi="Times New Roman" w:eastAsia="仿宋_GB2312"/>
          <w:sz w:val="30"/>
          <w:szCs w:val="30"/>
        </w:rPr>
      </w:pPr>
      <w:r>
        <w:rPr>
          <w:rFonts w:ascii="Times New Roman" w:hAnsi="Times New Roman" w:eastAsia="仿宋_GB2312"/>
          <w:sz w:val="30"/>
          <w:szCs w:val="30"/>
        </w:rPr>
        <w:t>表1</w:t>
      </w:r>
      <w:r>
        <w:rPr>
          <w:rFonts w:hint="eastAsia" w:ascii="Times New Roman" w:hAnsi="Times New Roman" w:eastAsia="仿宋_GB2312"/>
          <w:sz w:val="30"/>
          <w:szCs w:val="30"/>
          <w:lang w:val="en-US" w:eastAsia="zh-CN"/>
        </w:rPr>
        <w:t>.</w:t>
      </w:r>
      <w:r>
        <w:rPr>
          <w:rFonts w:ascii="Times New Roman" w:hAnsi="Times New Roman" w:eastAsia="仿宋_GB2312"/>
          <w:sz w:val="30"/>
          <w:szCs w:val="30"/>
        </w:rPr>
        <w:t>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02529664">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D39C6E1">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6D958A98">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1F676794">
            <w:pPr>
              <w:jc w:val="center"/>
              <w:rPr>
                <w:b/>
                <w:bCs/>
                <w:color w:val="000000"/>
                <w:sz w:val="22"/>
              </w:rPr>
            </w:pPr>
            <w:r>
              <w:rPr>
                <w:rFonts w:hint="eastAsia"/>
                <w:b/>
                <w:bCs/>
                <w:color w:val="000000"/>
                <w:sz w:val="22"/>
              </w:rPr>
              <w:t>得分</w:t>
            </w:r>
          </w:p>
        </w:tc>
      </w:tr>
      <w:tr w14:paraId="4B221EA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5D2BF06">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498473EA">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1FD9768A">
            <w:pPr>
              <w:jc w:val="center"/>
              <w:rPr>
                <w:rFonts w:hint="default" w:eastAsia="宋体"/>
                <w:color w:val="000000"/>
                <w:sz w:val="22"/>
                <w:lang w:val="en-US" w:eastAsia="zh-CN"/>
              </w:rPr>
            </w:pPr>
            <w:r>
              <w:rPr>
                <w:rFonts w:hint="eastAsia"/>
                <w:color w:val="000000"/>
                <w:sz w:val="22"/>
                <w:lang w:val="en-US" w:eastAsia="zh-CN"/>
              </w:rPr>
              <w:t>20</w:t>
            </w:r>
          </w:p>
        </w:tc>
      </w:tr>
      <w:tr w14:paraId="7403849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D76D5C8">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8F10A61">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53825489">
            <w:pPr>
              <w:jc w:val="center"/>
              <w:rPr>
                <w:rFonts w:hint="default" w:eastAsia="宋体"/>
                <w:color w:val="000000"/>
                <w:sz w:val="22"/>
                <w:lang w:val="en-US" w:eastAsia="zh-CN"/>
              </w:rPr>
            </w:pPr>
            <w:r>
              <w:rPr>
                <w:rFonts w:hint="eastAsia"/>
                <w:color w:val="000000"/>
                <w:sz w:val="22"/>
                <w:lang w:val="en-US" w:eastAsia="zh-CN"/>
              </w:rPr>
              <w:t>20</w:t>
            </w:r>
          </w:p>
        </w:tc>
      </w:tr>
      <w:tr w14:paraId="4128A97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C2332A">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B386193">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04AA7389">
            <w:pPr>
              <w:jc w:val="center"/>
              <w:rPr>
                <w:rFonts w:hint="default" w:eastAsia="宋体"/>
                <w:color w:val="000000"/>
                <w:sz w:val="22"/>
                <w:lang w:val="en-US" w:eastAsia="zh-CN"/>
              </w:rPr>
            </w:pPr>
            <w:r>
              <w:rPr>
                <w:rFonts w:hint="eastAsia"/>
                <w:color w:val="000000"/>
                <w:sz w:val="22"/>
                <w:lang w:val="en-US" w:eastAsia="zh-CN"/>
              </w:rPr>
              <w:t>40</w:t>
            </w:r>
          </w:p>
        </w:tc>
      </w:tr>
      <w:tr w14:paraId="090FD2A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82396E">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7ABD4F1">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20A59C03">
            <w:pPr>
              <w:jc w:val="center"/>
              <w:rPr>
                <w:rFonts w:hint="default" w:eastAsia="宋体"/>
                <w:color w:val="000000"/>
                <w:sz w:val="22"/>
                <w:lang w:val="en-US" w:eastAsia="zh-CN"/>
              </w:rPr>
            </w:pPr>
            <w:r>
              <w:rPr>
                <w:rFonts w:hint="eastAsia"/>
                <w:color w:val="000000"/>
                <w:sz w:val="22"/>
                <w:lang w:val="en-US" w:eastAsia="zh-CN"/>
              </w:rPr>
              <w:t>20</w:t>
            </w:r>
          </w:p>
        </w:tc>
      </w:tr>
      <w:tr w14:paraId="094F4BA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5399AA1">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3DF9C9C0">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3B0F6056">
            <w:pPr>
              <w:jc w:val="center"/>
              <w:rPr>
                <w:rFonts w:hint="default" w:eastAsia="宋体"/>
                <w:b/>
                <w:bCs/>
                <w:color w:val="000000"/>
                <w:sz w:val="22"/>
                <w:lang w:val="en-US" w:eastAsia="zh-CN"/>
              </w:rPr>
            </w:pPr>
            <w:r>
              <w:rPr>
                <w:rFonts w:hint="eastAsia"/>
                <w:b/>
                <w:bCs/>
                <w:color w:val="000000"/>
                <w:sz w:val="22"/>
                <w:lang w:val="en-US" w:eastAsia="zh-CN"/>
              </w:rPr>
              <w:t>100</w:t>
            </w:r>
          </w:p>
        </w:tc>
      </w:tr>
    </w:tbl>
    <w:p w14:paraId="04F8F22F">
      <w:pPr>
        <w:spacing w:line="560" w:lineRule="exact"/>
        <w:ind w:firstLine="640" w:firstLineChars="200"/>
        <w:rPr>
          <w:rFonts w:eastAsia="黑体"/>
          <w:sz w:val="32"/>
          <w:szCs w:val="32"/>
        </w:rPr>
      </w:pPr>
      <w:r>
        <w:rPr>
          <w:rFonts w:eastAsia="黑体"/>
          <w:sz w:val="32"/>
          <w:szCs w:val="32"/>
        </w:rPr>
        <w:t>四、绩效评价指标分析</w:t>
      </w:r>
    </w:p>
    <w:p w14:paraId="56D4AE06">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28E06B0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项目决策类指标包括项目立项、绩效目标和资金投入三方面的内容，由6个三级指标构成，权重分值为20分，实际得分</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分，得分率为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768307E2">
      <w:pPr>
        <w:pStyle w:val="20"/>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66E0964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3A56B23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02615A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26B974A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1E30F666">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2CDF9E3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20A7E5F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94E326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625CA521">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按计划及时对于延期缴纳税费产生的滞纳金进行缴纳，达到增强政府财力的效益，</w:t>
      </w: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522648AF">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18A095E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36FF67F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预算科学，项目预算编制经过科学论证，预算内容与项目内容匹配，预算额度测算依据充分，按照标准编制，预算确定的项目投资额或资金量与工作任务相匹配；预算资金分配依据充分，资金分配额度合理。</w:t>
      </w:r>
    </w:p>
    <w:p w14:paraId="40D5420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5E46CAF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该部分资金属于年初预算，用于推动资产处置的过户程序，对于延期缴纳税费产生的滞纳金，尽快拨付到区人民政府办公室，完成滞纳金缴纳工作，资金总额根据202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年产生的</w:t>
      </w:r>
      <w:r>
        <w:rPr>
          <w:rFonts w:hint="eastAsia" w:ascii="仿宋_GB2312" w:hAnsi="仿宋_GB2312" w:eastAsia="仿宋_GB2312" w:cs="仿宋_GB2312"/>
          <w:sz w:val="32"/>
          <w:szCs w:val="32"/>
          <w:lang w:eastAsia="zh-CN"/>
        </w:rPr>
        <w:t>滞纳金</w:t>
      </w:r>
      <w:r>
        <w:rPr>
          <w:rFonts w:hint="eastAsia" w:ascii="仿宋_GB2312" w:hAnsi="仿宋_GB2312" w:eastAsia="仿宋_GB2312" w:cs="仿宋_GB2312"/>
          <w:sz w:val="32"/>
          <w:szCs w:val="32"/>
        </w:rPr>
        <w:t>进行测算合计。在项目运作后，可以完全覆盖融资成本。</w:t>
      </w:r>
    </w:p>
    <w:p w14:paraId="60670EA3">
      <w:pPr>
        <w:pStyle w:val="2"/>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251087F0">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项目过程类指标包括资金管理和组织实施两方面的内容，由5个三级指标构成，权重分值为20分</w:t>
      </w:r>
      <w:r>
        <w:rPr>
          <w:rFonts w:hint="eastAsia" w:ascii="仿宋_GB2312" w:hAnsi="仿宋_GB2312" w:eastAsia="仿宋_GB2312" w:cs="仿宋_GB2312"/>
          <w:sz w:val="32"/>
          <w:szCs w:val="32"/>
          <w:highlight w:val="none"/>
        </w:rPr>
        <w:t>，实际得分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7C5BA75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0E8C3E53">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3E2AD23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716DD0F1">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highlight w:val="none"/>
        </w:rPr>
        <w:t>总投资</w:t>
      </w:r>
      <w:r>
        <w:rPr>
          <w:rFonts w:hint="eastAsia" w:ascii="仿宋_GB2312" w:hAnsi="仿宋_GB2312" w:eastAsia="仿宋_GB2312" w:cs="仿宋_GB2312"/>
          <w:sz w:val="32"/>
          <w:szCs w:val="32"/>
          <w:highlight w:val="none"/>
          <w:lang w:val="en-US" w:eastAsia="zh-CN"/>
        </w:rPr>
        <w:t>111.14</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用于南湖东路77号办理过户相关费用，</w:t>
      </w:r>
      <w:r>
        <w:rPr>
          <w:rFonts w:hint="eastAsia" w:ascii="仿宋_GB2312" w:hAnsi="仿宋_GB2312" w:eastAsia="仿宋_GB2312" w:cs="仿宋_GB2312"/>
          <w:sz w:val="32"/>
          <w:szCs w:val="32"/>
          <w:highlight w:val="none"/>
        </w:rPr>
        <w:t>财政资金及时足额到位，到位率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%，预算资金按计划进度执行。</w:t>
      </w:r>
    </w:p>
    <w:p w14:paraId="6A39B6A7">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38607B03">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4年</w:t>
      </w:r>
      <w:r>
        <w:rPr>
          <w:rFonts w:hint="eastAsia" w:ascii="仿宋_GB2312" w:hAnsi="仿宋_GB2312" w:eastAsia="仿宋_GB2312" w:cs="仿宋_GB2312"/>
          <w:sz w:val="32"/>
          <w:szCs w:val="32"/>
          <w:highlight w:val="none"/>
        </w:rPr>
        <w:t>安排预算</w:t>
      </w:r>
      <w:r>
        <w:rPr>
          <w:rFonts w:hint="eastAsia" w:ascii="仿宋_GB2312" w:hAnsi="仿宋_GB2312" w:eastAsia="仿宋_GB2312" w:cs="仿宋_GB2312"/>
          <w:sz w:val="32"/>
          <w:szCs w:val="32"/>
          <w:highlight w:val="none"/>
          <w:lang w:val="en-US" w:eastAsia="zh-CN"/>
        </w:rPr>
        <w:t>111.14</w:t>
      </w:r>
      <w:r>
        <w:rPr>
          <w:rFonts w:hint="eastAsia" w:ascii="仿宋_GB2312" w:hAnsi="仿宋_GB2312" w:eastAsia="仿宋_GB2312" w:cs="仿宋_GB2312"/>
          <w:sz w:val="32"/>
          <w:szCs w:val="32"/>
          <w:highlight w:val="none"/>
        </w:rPr>
        <w:t>万元，资金执行</w:t>
      </w:r>
      <w:r>
        <w:rPr>
          <w:rFonts w:hint="eastAsia" w:ascii="仿宋_GB2312" w:hAnsi="仿宋_GB2312" w:eastAsia="仿宋_GB2312" w:cs="仿宋_GB2312"/>
          <w:sz w:val="32"/>
          <w:szCs w:val="32"/>
          <w:highlight w:val="none"/>
          <w:lang w:val="en-US" w:eastAsia="zh-CN"/>
        </w:rPr>
        <w:t>111.14</w:t>
      </w:r>
      <w:r>
        <w:rPr>
          <w:rFonts w:hint="eastAsia" w:ascii="仿宋_GB2312" w:hAnsi="仿宋_GB2312" w:eastAsia="仿宋_GB2312" w:cs="仿宋_GB2312"/>
          <w:sz w:val="32"/>
          <w:szCs w:val="32"/>
          <w:highlight w:val="none"/>
        </w:rPr>
        <w:t>万元，资金执行率100%。本项目内所有子项目资金均于202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年支付完成预算编制较为详细，项目资金支出总体能够按照预算执行。</w:t>
      </w:r>
    </w:p>
    <w:p w14:paraId="0828D0C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5298C7C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本项目资金的使用符合国家财经法规和财务管理制度以及有关专项资金管理办法的规定。同时，资金的拨付有完整的审批程序，需要提供《资金支付申请表》、发票、</w:t>
      </w:r>
      <w:r>
        <w:rPr>
          <w:rFonts w:hint="eastAsia" w:ascii="仿宋_GB2312" w:hAnsi="仿宋_GB2312" w:eastAsia="仿宋_GB2312" w:cs="仿宋_GB2312"/>
          <w:sz w:val="32"/>
          <w:szCs w:val="32"/>
          <w:lang w:eastAsia="zh-CN"/>
        </w:rPr>
        <w:t>文件</w:t>
      </w:r>
      <w:r>
        <w:rPr>
          <w:rFonts w:hint="eastAsia" w:ascii="仿宋_GB2312" w:hAnsi="仿宋_GB2312" w:eastAsia="仿宋_GB2312" w:cs="仿宋_GB2312"/>
          <w:sz w:val="32"/>
          <w:szCs w:val="32"/>
        </w:rPr>
        <w:t>、等支付手续，符合项目预算批复或合同规定的用途，不存在截留、挤占、挪用、虚列支出等情况。</w:t>
      </w:r>
    </w:p>
    <w:p w14:paraId="7B89E2A6">
      <w:pPr>
        <w:pStyle w:val="20"/>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73C7CC0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31687E0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D9CCC1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2FEEBB3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7C4F7117">
      <w:pPr>
        <w:pStyle w:val="10"/>
        <w:numPr>
          <w:ilvl w:val="0"/>
          <w:numId w:val="4"/>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2D4B70B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项目产出类指标包括产出数量、产出质量、产出时效、产出成本四方面的内容，由</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个三级指标构成，权重分为40分，实际得分</w:t>
      </w:r>
      <w:r>
        <w:rPr>
          <w:rFonts w:hint="eastAsia" w:ascii="仿宋_GB2312" w:hAnsi="仿宋_GB2312" w:eastAsia="仿宋_GB2312" w:cs="仿宋_GB2312"/>
          <w:sz w:val="32"/>
          <w:szCs w:val="32"/>
          <w:highlight w:val="none"/>
          <w:lang w:val="en-US" w:eastAsia="zh-CN"/>
        </w:rPr>
        <w:t>40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%。具体产出指标完成情</w:t>
      </w:r>
      <w:r>
        <w:rPr>
          <w:rFonts w:hint="eastAsia" w:ascii="仿宋_GB2312" w:hAnsi="仿宋_GB2312" w:eastAsia="仿宋_GB2312" w:cs="仿宋_GB2312"/>
          <w:sz w:val="32"/>
          <w:szCs w:val="32"/>
        </w:rPr>
        <w:t>况如下：</w:t>
      </w:r>
    </w:p>
    <w:p w14:paraId="65667CC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31F77F32">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指标1：产生滞纳金的资产数量，指标值：</w:t>
      </w:r>
      <w:r>
        <w:rPr>
          <w:rFonts w:hint="eastAsia" w:ascii="仿宋_GB2312" w:hAnsi="仿宋_GB2312" w:eastAsia="仿宋_GB2312" w:cs="仿宋_GB2312"/>
          <w:sz w:val="32"/>
          <w:szCs w:val="32"/>
          <w:lang w:val="en-US" w:eastAsia="zh-CN"/>
        </w:rPr>
        <w:t>1处资产</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1处资产</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119DE10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3A51276B">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指标1：滞纳金支付准确率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698CF70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14:paraId="2754C629">
      <w:pP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：滞纳金支付及时性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小于等于</w:t>
      </w:r>
      <w:r>
        <w:rPr>
          <w:rFonts w:hint="eastAsia" w:ascii="仿宋_GB2312" w:hAnsi="仿宋_GB2312" w:eastAsia="仿宋_GB2312" w:cs="仿宋_GB2312"/>
          <w:sz w:val="32"/>
          <w:szCs w:val="32"/>
          <w:highlight w:val="none"/>
        </w:rPr>
        <w:t>9个月，实际完成值：</w:t>
      </w:r>
      <w:r>
        <w:rPr>
          <w:rFonts w:hint="eastAsia" w:ascii="仿宋_GB2312" w:hAnsi="仿宋_GB2312" w:eastAsia="仿宋_GB2312" w:cs="仿宋_GB2312"/>
          <w:sz w:val="32"/>
          <w:szCs w:val="32"/>
          <w:highlight w:val="none"/>
          <w:lang w:val="en-US" w:eastAsia="zh-CN"/>
        </w:rPr>
        <w:t>等于8个月</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714929BE">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成本指标：</w:t>
      </w:r>
    </w:p>
    <w:p w14:paraId="7A3C8A9E">
      <w:pP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指标1：城市维护建设税滞纳金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=5455.51元</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=5455.51元</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185D7784">
      <w:pP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：增值税滞纳金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=155871.75元</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=155871.75元</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2BB22379">
      <w:pPr>
        <w:spacing w:line="600" w:lineRule="exact"/>
        <w:ind w:firstLine="640" w:firstLineChars="200"/>
        <w:outlineLvl w:val="0"/>
        <w:rPr>
          <w:rFonts w:hint="eastAsia"/>
          <w:highlight w:val="yellow"/>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：土地增值税滞纳金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=950099.7元</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=950099.7元</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6B4A4B08">
      <w:pPr>
        <w:pStyle w:val="10"/>
        <w:numPr>
          <w:ilvl w:val="0"/>
          <w:numId w:val="4"/>
        </w:numPr>
        <w:spacing w:line="560" w:lineRule="exact"/>
        <w:ind w:firstLine="643"/>
        <w:rPr>
          <w:rFonts w:eastAsia="楷体_GB2312"/>
          <w:b/>
          <w:bCs/>
          <w:sz w:val="32"/>
          <w:szCs w:val="32"/>
        </w:rPr>
      </w:pPr>
      <w:r>
        <w:rPr>
          <w:rFonts w:hint="eastAsia" w:eastAsia="楷体_GB2312"/>
          <w:b/>
          <w:bCs/>
          <w:sz w:val="32"/>
          <w:szCs w:val="32"/>
        </w:rPr>
        <w:t>项目效益情况</w:t>
      </w:r>
    </w:p>
    <w:p w14:paraId="69D3C1FB">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项目效益类指标包括项目实施效益和满意度两方面的内容，由</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个三级指标构成，权重分为20分，实际得分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%。具体效益指标及满意度指标完成情况如下：</w:t>
      </w:r>
    </w:p>
    <w:p w14:paraId="1FBCDF68">
      <w:pPr>
        <w:spacing w:line="600" w:lineRule="exact"/>
        <w:ind w:firstLine="643" w:firstLineChars="200"/>
        <w:outlineLvl w:val="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1.实施效益</w:t>
      </w:r>
    </w:p>
    <w:p w14:paraId="2944D64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①社会效益指标：</w:t>
      </w:r>
    </w:p>
    <w:p w14:paraId="3F733A88">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指标1：缴纳滞纳金增强政府财力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有效增强</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完全达到预期目标</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。通过缴纳延期缴纳税费产生的滞纳金达到</w:t>
      </w:r>
      <w:r>
        <w:rPr>
          <w:rFonts w:hint="eastAsia" w:ascii="仿宋_GB2312" w:hAnsi="仿宋_GB2312" w:eastAsia="仿宋_GB2312" w:cs="仿宋_GB2312"/>
          <w:sz w:val="32"/>
          <w:szCs w:val="32"/>
        </w:rPr>
        <w:t>增强政府财力</w:t>
      </w:r>
      <w:r>
        <w:rPr>
          <w:rFonts w:hint="eastAsia" w:ascii="仿宋_GB2312" w:hAnsi="仿宋_GB2312" w:eastAsia="仿宋_GB2312" w:cs="仿宋_GB2312"/>
          <w:sz w:val="32"/>
          <w:szCs w:val="32"/>
          <w:lang w:eastAsia="zh-CN"/>
        </w:rPr>
        <w:t>的效益。</w:t>
      </w:r>
    </w:p>
    <w:p w14:paraId="13A2B539">
      <w:pPr>
        <w:spacing w:line="560" w:lineRule="exact"/>
        <w:ind w:firstLine="640" w:firstLineChars="200"/>
        <w:rPr>
          <w:rStyle w:val="19"/>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14:paraId="61F01CD4">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39CB6821">
      <w:pPr>
        <w:spacing w:line="560" w:lineRule="exact"/>
        <w:ind w:firstLine="640" w:firstLineChars="200"/>
        <w:rPr>
          <w:rFonts w:eastAsia="仿宋_GB2312"/>
          <w:sz w:val="32"/>
          <w:szCs w:val="32"/>
        </w:rPr>
      </w:pPr>
      <w:r>
        <w:rPr>
          <w:rFonts w:hint="eastAsia" w:eastAsia="仿宋_GB2312"/>
          <w:sz w:val="32"/>
          <w:szCs w:val="32"/>
        </w:rPr>
        <w:t>及时发现项目运行中的问题并加以改进；推进项目精细化管理，提高成本控制能力；建立监督机制，加强对项目管理的监督；进一步落实岗位责任制，确保各项工作规范化、制度化；加强组织领导，便于及时发现项目运行中的问题并加以改进</w:t>
      </w:r>
      <w:r>
        <w:rPr>
          <w:rFonts w:eastAsia="仿宋_GB2312"/>
          <w:sz w:val="32"/>
          <w:szCs w:val="32"/>
        </w:rPr>
        <w:t>。</w:t>
      </w:r>
    </w:p>
    <w:p w14:paraId="7FF1334D">
      <w:pPr>
        <w:pStyle w:val="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6F129A9">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03DD81E6">
      <w:pPr>
        <w:spacing w:line="600" w:lineRule="exact"/>
        <w:ind w:firstLine="640" w:firstLineChars="200"/>
        <w:outlineLvl w:val="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1.工作机制有待进一步完善，财政经费紧张，不能按期按时拨付项目经费，导致各项款项无法正常支出．</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2.在部门整体支出的资金安排和使用上仍有不可预见性。</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3.单位各科室对项目绩效目标工作认识不到位，制定的绩效监控目标不够完善。单位各科室对预算执行过程中进行监控时，调整不及时。</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4.在项目执行过程中遇到的目标设定较高或者较低；项目实施的监督管理力度不够。</w:t>
      </w:r>
    </w:p>
    <w:p w14:paraId="78D99E05">
      <w:pPr>
        <w:spacing w:line="560" w:lineRule="exact"/>
        <w:ind w:firstLine="640" w:firstLineChars="200"/>
        <w:rPr>
          <w:rFonts w:eastAsia="黑体"/>
          <w:sz w:val="32"/>
          <w:szCs w:val="32"/>
        </w:rPr>
      </w:pPr>
      <w:r>
        <w:rPr>
          <w:rFonts w:hint="eastAsia" w:eastAsia="黑体"/>
          <w:sz w:val="32"/>
          <w:szCs w:val="32"/>
          <w:lang w:val="en-US" w:eastAsia="zh-CN"/>
        </w:rPr>
        <w:t>六</w:t>
      </w:r>
      <w:r>
        <w:rPr>
          <w:rFonts w:hint="eastAsia" w:eastAsia="黑体"/>
          <w:sz w:val="32"/>
          <w:szCs w:val="32"/>
        </w:rPr>
        <w:t>、</w:t>
      </w:r>
      <w:r>
        <w:rPr>
          <w:rFonts w:eastAsia="黑体"/>
          <w:sz w:val="32"/>
          <w:szCs w:val="32"/>
        </w:rPr>
        <w:t>有关建议</w:t>
      </w:r>
    </w:p>
    <w:p w14:paraId="0E813964">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1.绩效指标是绩效目标的具体化对项目实施的各个阶段起着考核、监督、引导的作用。</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2.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3.完善单位财务制度强化财政资金管理实施单位应压 实管理责任，做好财政资金拨付到位的监督审查工作，强化 财政资金管理，建立本项目相关资金专项核算账目，并严格 落实内外部监管制度，保证项目资金做到专款专用，规范 资 金运行，坚决杜绝截留、挤占、挪用、虚列支出等现象发生。</w:t>
      </w:r>
    </w:p>
    <w:p w14:paraId="12B2A860">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52E6D67">
      <w:pPr>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6" w:name="page8"/>
      <w:bookmarkEnd w:id="6"/>
      <w:r>
        <w:rPr>
          <w:rFonts w:eastAsia="黑体"/>
          <w:sz w:val="32"/>
          <w:szCs w:val="32"/>
        </w:rPr>
        <w:t>明的问题</w:t>
      </w:r>
    </w:p>
    <w:p w14:paraId="48FE8790">
      <w:pPr>
        <w:spacing w:line="560" w:lineRule="exact"/>
        <w:rPr>
          <w:rFonts w:hint="eastAsia" w:ascii="仿宋" w:hAnsi="仿宋" w:eastAsia="仿宋" w:cs="仿宋"/>
          <w:i w:val="0"/>
          <w:color w:val="000000"/>
          <w:sz w:val="32"/>
          <w:szCs w:val="32"/>
        </w:rPr>
      </w:pPr>
      <w:r>
        <w:rPr>
          <w:rFonts w:ascii="仿宋" w:hAnsi="仿宋" w:eastAsia="仿宋" w:cs="仿宋"/>
          <w:i w:val="0"/>
          <w:color w:val="000000"/>
          <w:sz w:val="32"/>
          <w:szCs w:val="32"/>
        </w:rPr>
        <w:t>（ 一） 项目支出政策和路径设计科学</w:t>
      </w:r>
      <w:r>
        <w:rPr>
          <w:rFonts w:hint="eastAsia" w:ascii="仿宋" w:hAnsi="仿宋" w:eastAsia="仿宋" w:cs="仿宋"/>
          <w:i w:val="0"/>
          <w:color w:val="000000"/>
          <w:sz w:val="32"/>
          <w:szCs w:val="32"/>
          <w:lang w:val="en-US" w:eastAsia="zh-CN"/>
        </w:rPr>
        <w:t>,</w:t>
      </w:r>
      <w:r>
        <w:rPr>
          <w:rFonts w:ascii="仿宋" w:hAnsi="仿宋" w:eastAsia="仿宋" w:cs="仿宋"/>
          <w:i w:val="0"/>
          <w:color w:val="000000"/>
          <w:sz w:val="32"/>
          <w:szCs w:val="32"/>
        </w:rPr>
        <w:t>符合实际需要；</w:t>
      </w:r>
      <w:r>
        <w:rPr>
          <w:rFonts w:hint="eastAsia" w:ascii="仿宋" w:hAnsi="仿宋" w:eastAsia="仿宋" w:cs="仿宋"/>
          <w:i w:val="0"/>
          <w:color w:val="000000"/>
          <w:sz w:val="32"/>
          <w:szCs w:val="32"/>
        </w:rPr>
        <w:br w:type="textWrapping"/>
      </w:r>
      <w:r>
        <w:rPr>
          <w:rFonts w:hint="eastAsia" w:ascii="仿宋" w:hAnsi="仿宋" w:eastAsia="仿宋" w:cs="仿宋"/>
          <w:i w:val="0"/>
          <w:color w:val="000000"/>
          <w:sz w:val="32"/>
          <w:szCs w:val="32"/>
        </w:rPr>
        <w:t>（ 二） 项目安排准确，未发现背离项目立项初衷的情况；</w:t>
      </w:r>
      <w:r>
        <w:rPr>
          <w:rFonts w:hint="eastAsia" w:ascii="仿宋" w:hAnsi="仿宋" w:eastAsia="仿宋" w:cs="仿宋"/>
          <w:i w:val="0"/>
          <w:color w:val="000000"/>
          <w:sz w:val="32"/>
          <w:szCs w:val="32"/>
        </w:rPr>
        <w:br w:type="textWrapping"/>
      </w:r>
      <w:r>
        <w:rPr>
          <w:rFonts w:hint="eastAsia" w:ascii="仿宋" w:hAnsi="仿宋" w:eastAsia="仿宋" w:cs="仿宋"/>
          <w:i w:val="0"/>
          <w:color w:val="000000"/>
          <w:sz w:val="32"/>
          <w:szCs w:val="32"/>
        </w:rPr>
        <w:t>（ 三） 项目的申报、审核机制完善；</w:t>
      </w:r>
      <w:r>
        <w:rPr>
          <w:rFonts w:hint="eastAsia" w:ascii="仿宋" w:hAnsi="仿宋" w:eastAsia="仿宋" w:cs="仿宋"/>
          <w:i w:val="0"/>
          <w:color w:val="000000"/>
          <w:sz w:val="32"/>
          <w:szCs w:val="32"/>
        </w:rPr>
        <w:br w:type="textWrapping"/>
      </w:r>
      <w:r>
        <w:rPr>
          <w:rFonts w:hint="eastAsia" w:ascii="仿宋" w:hAnsi="仿宋" w:eastAsia="仿宋" w:cs="仿宋"/>
          <w:i w:val="0"/>
          <w:color w:val="000000"/>
          <w:sz w:val="32"/>
          <w:szCs w:val="32"/>
        </w:rPr>
        <w:t>（ 四） 未发现虚假行为和骗取财政资金的问题</w:t>
      </w:r>
    </w:p>
    <w:p w14:paraId="58669122"/>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3425B2D-DDE0-4B39-A182-2AA715672A6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0DA5C65-A1EE-44B5-A09F-374303188E7D}"/>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56CDA494-3E1D-4DA9-A9F0-09B5221891F4}"/>
  </w:font>
  <w:font w:name="华文中宋">
    <w:panose1 w:val="02010600040101010101"/>
    <w:charset w:val="86"/>
    <w:family w:val="auto"/>
    <w:pitch w:val="default"/>
    <w:sig w:usb0="00000287" w:usb1="080F0000" w:usb2="00000000" w:usb3="00000000" w:csb0="0004009F" w:csb1="DFD70000"/>
    <w:embedRegular r:id="rId4" w:fontKey="{C1180390-9423-4E6B-A6F2-91E7F8610302}"/>
  </w:font>
  <w:font w:name="方正小标宋_GBK">
    <w:panose1 w:val="02000000000000000000"/>
    <w:charset w:val="86"/>
    <w:family w:val="script"/>
    <w:pitch w:val="default"/>
    <w:sig w:usb0="A00002BF" w:usb1="38CF7CFA" w:usb2="00082016" w:usb3="00000000" w:csb0="00040001" w:csb1="00000000"/>
    <w:embedRegular r:id="rId5" w:fontKey="{1FC8656A-4A9F-4143-8D36-6DD8D36F735B}"/>
  </w:font>
  <w:font w:name="楷体_GB2312">
    <w:panose1 w:val="02010609030101010101"/>
    <w:charset w:val="86"/>
    <w:family w:val="auto"/>
    <w:pitch w:val="default"/>
    <w:sig w:usb0="00000001" w:usb1="080E0000" w:usb2="00000000" w:usb3="00000000" w:csb0="00040000" w:csb1="00000000"/>
    <w:embedRegular r:id="rId6" w:fontKey="{97B2875D-F1C1-402A-AFF5-672EC05EFFDD}"/>
  </w:font>
  <w:font w:name="方正仿宋_GBK">
    <w:panose1 w:val="02000000000000000000"/>
    <w:charset w:val="86"/>
    <w:family w:val="auto"/>
    <w:pitch w:val="default"/>
    <w:sig w:usb0="A00002BF" w:usb1="38CF7CFA" w:usb2="00082016" w:usb3="00000000" w:csb0="00040001" w:csb1="00000000"/>
    <w:embedRegular r:id="rId7" w:fontKey="{88A85E27-EE62-4F16-9C39-1B4577852D64}"/>
  </w:font>
  <w:font w:name="楷体">
    <w:panose1 w:val="02010609060101010101"/>
    <w:charset w:val="86"/>
    <w:family w:val="modern"/>
    <w:pitch w:val="default"/>
    <w:sig w:usb0="800002BF" w:usb1="38CF7CFA" w:usb2="00000016" w:usb3="00000000" w:csb0="00040001" w:csb1="00000000"/>
    <w:embedRegular r:id="rId8" w:fontKey="{B831E028-71D1-457C-9FDE-DCD6D208209A}"/>
  </w:font>
  <w:font w:name="仿宋">
    <w:panose1 w:val="02010609060101010101"/>
    <w:charset w:val="86"/>
    <w:family w:val="auto"/>
    <w:pitch w:val="default"/>
    <w:sig w:usb0="800002BF" w:usb1="38CF7CFA" w:usb2="00000016" w:usb3="00000000" w:csb0="00040001" w:csb1="00000000"/>
    <w:embedRegular r:id="rId9" w:fontKey="{27BB8FDE-384B-4C45-9BC1-187BA987FF0B}"/>
  </w:font>
  <w:font w:name="WPSEMBED1">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152E1458">
        <w:pPr>
          <w:pStyle w:val="8"/>
          <w:jc w:val="center"/>
        </w:pPr>
        <w:r>
          <w:fldChar w:fldCharType="begin"/>
        </w:r>
        <w:r>
          <w:instrText xml:space="preserve">PAGE   \* MERGEFORMAT</w:instrText>
        </w:r>
        <w:r>
          <w:fldChar w:fldCharType="separate"/>
        </w:r>
        <w:r>
          <w:rPr>
            <w:lang w:val="zh-CN"/>
          </w:rPr>
          <w:t>13</w:t>
        </w:r>
        <w:r>
          <w:fldChar w:fldCharType="end"/>
        </w:r>
      </w:p>
    </w:sdtContent>
  </w:sdt>
  <w:p w14:paraId="6768C314">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iMGIwZmFmNTFkMzZhMzIyMjI2ZjMzY2ViMDZhZWEifQ=="/>
  </w:docVars>
  <w:rsids>
    <w:rsidRoot w:val="00000000"/>
    <w:rsid w:val="5F76727C"/>
    <w:rsid w:val="66A12E0F"/>
    <w:rsid w:val="7364274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5"/>
    <w:qFormat/>
    <w:uiPriority w:val="0"/>
    <w:pPr>
      <w:spacing w:after="0"/>
      <w:ind w:firstLine="200" w:firstLineChars="200"/>
    </w:pPr>
  </w:style>
  <w:style w:type="paragraph" w:styleId="11">
    <w:name w:val="Body Text First Indent 2"/>
    <w:basedOn w:val="6"/>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7"/>
    <w:qFormat/>
    <w:uiPriority w:val="0"/>
    <w:rPr>
      <w:rFonts w:ascii="Times New Roman" w:hAnsi="Times New Roman" w:eastAsia="宋体" w:cs="Times New Roman"/>
      <w:kern w:val="2"/>
      <w:sz w:val="18"/>
      <w:szCs w:val="18"/>
    </w:rPr>
  </w:style>
  <w:style w:type="character" w:customStyle="1" w:styleId="22">
    <w:name w:val="页眉 字符"/>
    <w:basedOn w:val="14"/>
    <w:link w:val="9"/>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35462C0B3FB543198819AAAFD75799DD_13</vt:lpwstr>
  </property>
  <property fmtid="{D5CDD505-2E9C-101B-9397-08002B2CF9AE}" pid="4" name="KSOTemplateDocerSaveRecord">
    <vt:lpwstr>eyJoZGlkIjoiMjljNzY0ZDM5ZGU1OGU2NjZjYTBiOWJlNmExZmE3NjciLCJ1c2VySWQiOiI0MTE4Nzg0OTgifQ==</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db113-5b13-4a82-ae73-13ea7d2c1078}">
  <ds:schemaRefs/>
</ds:datastoreItem>
</file>

<file path=customXml/itemProps2.xml><?xml version="1.0" encoding="utf-8"?>
<ds:datastoreItem xmlns:ds="http://schemas.openxmlformats.org/officeDocument/2006/customXml" ds:itemID="{EEA5C986-6CAE-461A-935E-905AB5D0E2F3}">
  <ds:schemaRefs/>
</ds:datastoreItem>
</file>

<file path=docProps/app.xml><?xml version="1.0" encoding="utf-8"?>
<Properties xmlns="http://schemas.openxmlformats.org/officeDocument/2006/extended-properties" xmlns:vt="http://schemas.openxmlformats.org/officeDocument/2006/docPropsVTypes">
  <Template>Normal</Template>
  <Pages>15</Pages>
  <Words>6483</Words>
  <Characters>6785</Characters>
  <Lines>66</Lines>
  <Paragraphs>18</Paragraphs>
  <TotalTime>0</TotalTime>
  <ScaleCrop>false</ScaleCrop>
  <LinksUpToDate>false</LinksUpToDate>
  <CharactersWithSpaces>6823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cp:lastPrinted>2025-05-07T09:20:00Z</cp:lastPrinted>
  <dcterms:modified xsi:type="dcterms:W3CDTF">2025-11-05T10:56:50Z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35462C0B3FB543198819AAAFD75799DD_13</vt:lpwstr>
  </property>
  <property fmtid="{D5CDD505-2E9C-101B-9397-08002B2CF9AE}" pid="4" name="KSOTemplateDocerSaveRecord">
    <vt:lpwstr>eyJoZGlkIjoiN2E1ZDY0MDI5MTE3YjM0ZGMyMzg4N2EwMDI4ZjJiM2YiLCJ1c2VySWQiOiIyNTk4NTcxMjUifQ==</vt:lpwstr>
  </property>
</Properties>
</file>